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ind w:right="-284" w:rightChars="-142"/>
        <w:rPr>
          <w:rFonts w:ascii="黑体" w:hAnsi="黑体" w:eastAsia="黑体"/>
          <w:color w:val="000000"/>
          <w:spacing w:val="10"/>
          <w:kern w:val="2"/>
          <w:sz w:val="32"/>
          <w:szCs w:val="32"/>
        </w:rPr>
      </w:pPr>
      <w:r>
        <w:rPr>
          <w:rFonts w:hint="eastAsia" w:ascii="黑体" w:hAnsi="黑体" w:eastAsia="黑体"/>
          <w:color w:val="000000"/>
          <w:spacing w:val="10"/>
          <w:kern w:val="2"/>
          <w:sz w:val="32"/>
          <w:szCs w:val="32"/>
        </w:rPr>
        <w:t>附件1</w:t>
      </w:r>
    </w:p>
    <w:p>
      <w:pPr>
        <w:overflowPunct w:val="0"/>
        <w:spacing w:line="560" w:lineRule="exact"/>
        <w:jc w:val="center"/>
        <w:rPr>
          <w:rFonts w:ascii="方正小标宋简体" w:eastAsia="方正小标宋简体"/>
          <w:color w:val="000000"/>
          <w:spacing w:val="10"/>
          <w:kern w:val="2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pacing w:val="10"/>
          <w:kern w:val="2"/>
          <w:sz w:val="44"/>
          <w:szCs w:val="44"/>
        </w:rPr>
        <w:t xml:space="preserve"> </w:t>
      </w:r>
    </w:p>
    <w:p>
      <w:pPr>
        <w:overflowPunct w:val="0"/>
        <w:spacing w:line="560" w:lineRule="exact"/>
        <w:jc w:val="center"/>
        <w:rPr>
          <w:rFonts w:ascii="方正小标宋简体" w:eastAsia="方正小标宋简体"/>
          <w:color w:val="000000"/>
          <w:spacing w:val="10"/>
          <w:kern w:val="2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pacing w:val="10"/>
          <w:kern w:val="2"/>
          <w:sz w:val="44"/>
          <w:szCs w:val="44"/>
        </w:rPr>
        <w:t>“雷锋精神我来讲”百人讲师团</w:t>
      </w:r>
    </w:p>
    <w:p>
      <w:pPr>
        <w:overflowPunct w:val="0"/>
        <w:spacing w:line="560" w:lineRule="exact"/>
        <w:jc w:val="center"/>
        <w:rPr>
          <w:rFonts w:ascii="方正小标宋简体" w:eastAsia="方正小标宋简体"/>
          <w:color w:val="000000"/>
          <w:spacing w:val="10"/>
          <w:kern w:val="2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pacing w:val="10"/>
          <w:kern w:val="2"/>
          <w:sz w:val="44"/>
          <w:szCs w:val="44"/>
        </w:rPr>
        <w:t>讲师名额分配表</w:t>
      </w:r>
    </w:p>
    <w:p>
      <w:pPr>
        <w:overflowPunct w:val="0"/>
        <w:spacing w:line="560" w:lineRule="exact"/>
        <w:jc w:val="center"/>
        <w:rPr>
          <w:rFonts w:ascii="楷体_GB2312" w:eastAsia="楷体_GB2312"/>
          <w:color w:val="000000"/>
          <w:spacing w:val="10"/>
          <w:kern w:val="2"/>
          <w:sz w:val="32"/>
          <w:szCs w:val="32"/>
        </w:rPr>
      </w:pPr>
      <w:r>
        <w:rPr>
          <w:rFonts w:hint="eastAsia" w:ascii="楷体_GB2312" w:eastAsia="楷体_GB2312"/>
          <w:color w:val="000000"/>
          <w:spacing w:val="10"/>
          <w:kern w:val="2"/>
          <w:sz w:val="32"/>
          <w:szCs w:val="32"/>
        </w:rPr>
        <w:t>（根据各单位注册志愿者数量按比例确定）</w:t>
      </w:r>
    </w:p>
    <w:tbl>
      <w:tblPr>
        <w:tblStyle w:val="3"/>
        <w:tblW w:w="833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3"/>
        <w:gridCol w:w="12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32"/>
              </w:rPr>
              <w:t>单位名称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32"/>
              </w:rPr>
              <w:t>讲师人数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文学院青年志愿者协会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哲学学院青年志愿者协会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历史学院青年志愿者协会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艺术学院青年志愿者协会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外国语言文学学院青年志愿者协会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新闻与传播学院青年志愿者协会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信息管理学院青年志愿者协会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经济与管理学院青年志愿者协会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法学院青年志愿者协会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马克思主义学院青年志愿者协会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政治与公共管理学院青年志愿者协会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社会学系青年志愿者协会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数学与统计学院青年志愿者协会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物理科学与技术学院青年志愿者协会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化学与分子科学学院青年志愿者协会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生命科学学院青年志愿者协会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资源与环境科学学院青年志愿者协会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水利水电学院青年志愿者协会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电气工程学院青年志愿者协会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动力与机械学院青年志愿者协会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城市设计学院青年志愿者协会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土木建筑工程学院青年志愿者协会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计算机学院青年志愿者协会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电子信息学院青年志愿者协会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遥感信息工程学院青年志愿者协会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测绘学院青年志愿者协会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印刷与包装系青年志愿者协会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药学院青年志愿者协会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基础医学院青年志愿者协会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中南医院（第二临床学院）青年志愿者协会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健康学院青年志愿者协会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口腔医院（口腔医学院）青年志愿者协会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武汉大学青年志愿者协会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武汉大学“救护之翼”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武汉大学种太阳工作室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武汉大学“大山里的魔法教室”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总计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32"/>
              </w:rPr>
              <w:t>100</w:t>
            </w:r>
          </w:p>
        </w:tc>
      </w:tr>
    </w:tbl>
    <w:p>
      <w:pPr>
        <w:widowControl w:val="0"/>
        <w:spacing w:line="560" w:lineRule="exact"/>
        <w:jc w:val="both"/>
        <w:rPr>
          <w:kern w:val="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3400C"/>
    <w:rsid w:val="5FF3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2018-03-05T13:35:00Z</dcterms:created>
  <dc:creator>热带雨林</dc:creator>
  <cp:lastModifiedBy>热带雨林</cp:lastModifiedBy>
  <dcterms:modified xsi:type="dcterms:W3CDTF">2018-03-05T13:43:40Z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